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cương Dự án Nghiên cứu</w:t>
      </w:r>
      <w:r/>
    </w:p>
    <w:p>
      <w:pPr>
        <w:pStyle w:val="Heading4"/>
      </w:pPr>
      <w:r>
        <w:t>Ngày: 29/09/2025</w:t>
      </w:r>
      <w:r/>
    </w:p>
    <w:p>
      <w:pPr>
        <w:pStyle w:val="Heading2"/>
      </w:pPr>
      <w:r>
        <w:t>Giới thiệu</w:t>
      </w:r>
      <w:r/>
    </w:p>
    <w:p>
      <w:r/>
      <w:r>
        <w:t>Báo cáo này phác thảo một dự án nghiên cứu tập trung vào việc tìm hiểu tác động đa diện của Trí tuệ nhân tạo (AI) đối với các quy trình làm việc hiện đại trên nhiều ngành nghề. Khi các công nghệ AI tiếp tục phát triển nhanh chóng, việc tích hợp chúng vào các quy trình kinh doanh đang thay đổi hiệu quả hoạt động, việc ra quyết định và bản chất của công việc (</w:t>
      </w:r>
      <w:hyperlink r:id="rId9">
        <w:r>
          <w:rPr>
            <w:color w:val="0000EE"/>
            <w:u w:val="single"/>
          </w:rPr>
          <w:t>Báo cáo Xu hướng AI 2024</w:t>
        </w:r>
      </w:hyperlink>
      <w:r>
        <w:t>). Nghiên cứu này nhằm mục đích khám phá cả những lợi ích, chẳng hạn như tăng cường năng suất và đổi mới, lẫn những thách thức, bao gồm nguy cơ mất việc làm tiềm tàng và các vấn đề đạo đức, liên quan đến việc áp dụng AI trong các môi trường tổ chức đương đại (</w:t>
      </w:r>
      <w:hyperlink r:id="rId10">
        <w:r>
          <w:rPr>
            <w:color w:val="0000EE"/>
            <w:u w:val="single"/>
          </w:rPr>
          <w:t>Viện Tương lai Lao động</w:t>
        </w:r>
      </w:hyperlink>
      <w:r>
        <w:t>). Các phát hiện sẽ cung cấp cái nhìn tổng quan toàn diện về các xu hướng hiện tại và đưa ra những hiểu biết chiến lược cho các doanh nghiệp đang điều hướng trong bối cảnh công nghệ đang phát triển này, nhấn mạnh sự cần thiết của các chiến lược thích ứng và triển khai có trách nhiệm (</w:t>
      </w:r>
      <w:hyperlink r:id="rId11">
        <w:r>
          <w:rPr>
            <w:color w:val="0000EE"/>
            <w:u w:val="single"/>
          </w:rPr>
          <w:t>Tạp chí Chuyển đổi Số</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Định nghĩa Trí tuệ nhân tạo và Tự động hóa quy trình làm việc</w:t>
      </w:r>
      <w:r/>
    </w:p>
    <w:p>
      <w:pPr>
        <w:pStyle w:val="ListBullet"/>
        <w:spacing w:line="240" w:lineRule="auto"/>
        <w:ind w:left="1440"/>
      </w:pPr>
      <w:r/>
      <w:r>
        <w:t>Bối cảnh lịch sử của AI trong kinh doanh</w:t>
      </w:r>
      <w:r/>
    </w:p>
    <w:p>
      <w:pPr>
        <w:pStyle w:val="ListBullet"/>
        <w:spacing w:line="240" w:lineRule="auto"/>
        <w:ind w:left="1440"/>
      </w:pPr>
      <w:r/>
      <w:r>
        <w:t>Tình hình hiện tại của các công nghệ AI</w:t>
      </w:r>
      <w:r/>
      <w:r/>
      <w:r/>
    </w:p>
    <w:p>
      <w:pPr>
        <w:pStyle w:val="ListBullet"/>
        <w:spacing w:line="240" w:lineRule="auto"/>
        <w:ind w:left="720"/>
      </w:pPr>
      <w:r/>
      <w:r>
        <w:t>Ảnh hưởng của AI đến Năng suất và Hiệu quả</w:t>
      </w:r>
      <w:r/>
    </w:p>
    <w:p>
      <w:pPr>
        <w:pStyle w:val="ListBullet"/>
        <w:spacing w:line="240" w:lineRule="auto"/>
        <w:ind w:left="1440"/>
      </w:pPr>
      <w:r/>
      <w:r>
        <w:t>Tự động hóa các tác vụ lặp đi lặp lại</w:t>
      </w:r>
      <w:r/>
    </w:p>
    <w:p>
      <w:pPr>
        <w:pStyle w:val="ListBullet"/>
        <w:spacing w:line="240" w:lineRule="auto"/>
        <w:ind w:left="1440"/>
      </w:pPr>
      <w:r/>
      <w:r>
        <w:t>Phân tích dữ liệu và Hỗ trợ ra quyết định</w:t>
      </w:r>
      <w:r/>
      <w:r/>
      <w:r/>
    </w:p>
    <w:p>
      <w:pPr>
        <w:pStyle w:val="ListBullet"/>
        <w:spacing w:line="240" w:lineRule="auto"/>
        <w:ind w:left="720"/>
      </w:pPr>
      <w:r/>
      <w:r>
        <w:t>Thách thức và Cân nhắc đạo đức</w:t>
      </w:r>
      <w:r/>
    </w:p>
    <w:p>
      <w:pPr>
        <w:pStyle w:val="ListBullet"/>
        <w:spacing w:line="240" w:lineRule="auto"/>
        <w:ind w:left="1440"/>
      </w:pPr>
      <w:r/>
      <w:r>
        <w:t>Nguy cơ mất việc làm và Đào tạo lại</w:t>
      </w:r>
      <w:r/>
    </w:p>
    <w:p>
      <w:pPr>
        <w:pStyle w:val="ListBullet"/>
        <w:spacing w:line="240" w:lineRule="auto"/>
        <w:ind w:left="1440"/>
      </w:pPr>
      <w:r/>
      <w:r>
        <w:t>Bảo mật dữ liệu và Thiên vị thuật toán</w:t>
      </w:r>
      <w:r/>
      <w:r/>
      <w:r/>
    </w:p>
    <w:p>
      <w:pPr>
        <w:pStyle w:val="ListBullet"/>
        <w:spacing w:line="240" w:lineRule="auto"/>
        <w:ind w:left="720"/>
      </w:pPr>
      <w:r/>
      <w:r>
        <w:t>Triển vọng tương lai và Khuyến nghị</w:t>
      </w:r>
      <w:r/>
    </w:p>
    <w:p>
      <w:pPr>
        <w:pStyle w:val="ListBullet"/>
        <w:spacing w:line="240" w:lineRule="auto"/>
        <w:ind w:left="1440"/>
      </w:pPr>
      <w:r/>
      <w:r>
        <w:t>Các xu hướng AI mới nổi</w:t>
      </w:r>
      <w:r/>
    </w:p>
    <w:p>
      <w:pPr>
        <w:pStyle w:val="ListBullet"/>
        <w:spacing w:line="240" w:lineRule="auto"/>
        <w:ind w:left="1440"/>
      </w:pPr>
      <w:r/>
      <w:r>
        <w:t>Chiến lược tích hợp AI thành công</w:t>
      </w:r>
      <w:r/>
      <w:r/>
      <w:r/>
    </w:p>
    <w:p>
      <w:pPr>
        <w:pStyle w:val="ListBullet"/>
        <w:spacing w:line="240" w:lineRule="auto"/>
        <w:ind w:left="720"/>
      </w:pPr>
      <w:r/>
      <w:r>
        <w:t>Kết luận</w:t>
      </w:r>
      <w:r/>
    </w:p>
    <w:p>
      <w:pPr>
        <w:pStyle w:val="ListBullet"/>
        <w:spacing w:line="240" w:lineRule="auto"/>
        <w:ind w:left="720"/>
      </w:pPr>
      <w:r/>
      <w:r>
        <w:t>Nguồn</w:t>
      </w:r>
      <w:r/>
      <w:r/>
    </w:p>
    <w:p>
      <w:pPr>
        <w:pStyle w:val="Heading2"/>
      </w:pPr>
      <w:r>
        <w:t>Bối cảnh và Ngữ cảnh</w:t>
      </w:r>
      <w:r/>
    </w:p>
    <w:p>
      <w:pPr>
        <w:pStyle w:val="Heading3"/>
      </w:pPr>
      <w:r>
        <w:t>Tái cơ cấu các Đơn vị sự nghiệp công lập: Điều chỉnh trong lĩnh vực Y tế và Giáo dục</w:t>
      </w:r>
      <w:r/>
    </w:p>
    <w:p>
      <w:r/>
      <w:r>
        <w:t>Việc triển khai mô hình chính quyền địa phương 2 cấp đã đòi hỏi một cuộc tái cơ cấu toàn diện các đơn vị sự nghiệp công lập, đặc biệt trong lĩnh vực y tế và giáo dục. Sự sắp xếp chiến lược này nhằm mục đích tinh gọn hoạt động, nâng cao chất lượng cung cấp dịch vụ và phù hợp với cơ cấu hành chính mới. Các chỉ thị từ các cơ quan trung ương đã cung cấp khuôn khổ cho những thay đổi này, nhấn mạnh hiệu quả và khả năng đáp ứng nhu cầu địa phương.</w:t>
      </w:r>
      <w:r/>
    </w:p>
    <w:p>
      <w:r/>
      <w:r>
        <w:t>Một văn bản hướng dẫn quan trọng, Công văn số 03/CV-BCĐ, do Ban Chỉ đạo sắp xếp đơn vị hành chính và thành lập mô hình chính quyền địa phương 2 cấp ban hành ngày 15 tháng 4 năm 2025, đã cung cấp những định hướng ban đầu cho các đơn vị sự nghiệp công lập, bao gồm các cơ sở y tế và giáo dục. Văn bản này đặc biệt đề cập đến việc sắp xếp các đơn vị sự nghiệp công lập trực thuộc Ủy ban nhân dân (UBND) cấp huyện để chuyển giao hoặc thành lập các đơn vị mới trực thuộc UBND cấp xã sau sắp xếp, phù hợp với Kết luận số 137-KL/TW và hướng dẫn chuyên ngành của các bộ (</w:t>
      </w:r>
      <w:hyperlink r:id="rId12">
        <w:r>
          <w:rPr>
            <w:color w:val="0000EE"/>
            <w:u w:val="single"/>
          </w:rPr>
          <w:t>Nguồn 1</w:t>
        </w:r>
      </w:hyperlink>
      <w:r>
        <w:t xml:space="preserve">, </w:t>
      </w:r>
      <w:hyperlink r:id="rId12">
        <w:r>
          <w:rPr>
            <w:color w:val="0000EE"/>
            <w:u w:val="single"/>
          </w:rPr>
          <w:t>Nguồn 4</w:t>
        </w:r>
      </w:hyperlink>
      <w:r>
        <w:t>). Sau khi mô hình chính quyền địa phương 2 cấp đi vào hoạt động, chính phủ dự kiến sẽ tiếp tục hướng dẫn việc sắp xếp các đơn vị y tế và giáo dục (</w:t>
      </w:r>
      <w:hyperlink r:id="rId12">
        <w:r>
          <w:rPr>
            <w:color w:val="0000EE"/>
            <w:u w:val="single"/>
          </w:rPr>
          <w:t>Nguồn 4</w:t>
        </w:r>
      </w:hyperlink>
      <w:r>
        <w:t>).</w:t>
      </w:r>
      <w:r/>
    </w:p>
    <w:p>
      <w:r/>
      <w:r>
        <w:t>Các nguyên tắc và định hướng tiếp theo cho việc sắp xếp các đơn vị sự nghiệp công lập ở cấp địa phương đã được nêu trong Công văn 68/CV-BCĐ, ban hành ngày 28 tháng 5 năm 2025, của Ban Chỉ đạo. Văn bản này nhấn mạnh rằng việc sắp xếp không được gây ảnh hưởng tiêu cực đến việc cung cấp các dịch vụ công thiết yếu, đảm bảo không tăng số lượng đơn vị hoặc biên chế hưởng lương từ ngân sách nhà nước, và phải hoàn thành trước ngày 15 tháng 6 năm 2025 (</w:t>
      </w:r>
      <w:hyperlink r:id="rId13">
        <w:r>
          <w:rPr>
            <w:color w:val="0000EE"/>
            <w:u w:val="single"/>
          </w:rPr>
          <w:t>Nguồn 3</w:t>
        </w:r>
      </w:hyperlink>
      <w:r>
        <w:t xml:space="preserve">, </w:t>
      </w:r>
      <w:hyperlink r:id="rId13">
        <w:r>
          <w:rPr>
            <w:color w:val="0000EE"/>
            <w:u w:val="single"/>
          </w:rPr>
          <w:t>Nguồn 7</w:t>
        </w:r>
      </w:hyperlink>
      <w:r>
        <w:t>). Các địa phương được giao nhiệm vụ chủ động xây dựng kế hoạch sắp xếp của mình phù hợp với các hướng dẫn này và điều chỉnh chúng dựa trên chỉ đạo từ các bộ chuyên ngành, đảm bảo triển khai đồng bộ với mô hình chính quyền 2 cấp (</w:t>
      </w:r>
      <w:hyperlink r:id="rId13">
        <w:r>
          <w:rPr>
            <w:color w:val="0000EE"/>
            <w:u w:val="single"/>
          </w:rPr>
          <w:t>Nguồn 7</w:t>
        </w:r>
      </w:hyperlink>
      <w:r>
        <w:t>). Các bộ, cơ quan ngang bộ cũng được yêu cầu ban hành các thông tư hướng dẫn chức năng, nhiệm vụ, quyền hạn cho các cơ quan chuyên môn thuộc UBND cấp tỉnh và cấp xã, và cung cấp hướng dẫn về việc sắp xếp mạng lưới đơn vị sự nghiệp công lập trước ngày 15 tháng 6 năm 2025 (</w:t>
      </w:r>
      <w:hyperlink r:id="rId13">
        <w:r>
          <w:rPr>
            <w:color w:val="0000EE"/>
            <w:u w:val="single"/>
          </w:rPr>
          <w:t>Nguồn 8</w:t>
        </w:r>
      </w:hyperlink>
      <w:r>
        <w:t>).</w:t>
      </w:r>
      <w:r/>
    </w:p>
    <w:p>
      <w:r/>
      <w:r>
        <w:t>Các tỉnh đã bắt đầu thực hiện các chỉ thị này. Ví dụ, lãnh đạo UBND tỉnh Hải Dương đã chỉ đạo sắp xếp một số đơn vị sự nghiệp công lập theo hướng cung cấp dịch vụ liên xã/phường và giải thể các đơn vị không còn phù hợp với mô hình 2 cấp. Điều này bao gồm các kế hoạch cụ thể cho các cơ sở y tế và giáo dục, nhằm hợp nhất các dịch vụ trên nhiều xã, phường (</w:t>
      </w:r>
      <w:hyperlink r:id="rId14">
        <w:r>
          <w:rPr>
            <w:color w:val="0000EE"/>
            <w:u w:val="single"/>
          </w:rPr>
          <w:t>Nguồn 2</w:t>
        </w:r>
      </w:hyperlink>
      <w:r>
        <w:t xml:space="preserve">, </w:t>
      </w:r>
      <w:hyperlink r:id="rId14">
        <w:r>
          <w:rPr>
            <w:color w:val="0000EE"/>
            <w:u w:val="single"/>
          </w:rPr>
          <w:t>Nguồn 10</w:t>
        </w:r>
      </w:hyperlink>
      <w:r>
        <w:t>). Tương tự, tỉnh Quảng Nam đã tiến hành sắp xếp 741 đơn vị sự nghiệp công lập để chuẩn bị cho việc giải thể các đơn vị hành chính cấp huyện (</w:t>
      </w:r>
      <w:hyperlink r:id="rId13">
        <w:r>
          <w:rPr>
            <w:color w:val="0000EE"/>
            <w:u w:val="single"/>
          </w:rPr>
          <w:t>Nguồn 7</w:t>
        </w:r>
      </w:hyperlink>
      <w:r>
        <w:t>). Khuôn khổ chính sách nhấn mạnh việc duy trì các dịch vụ công thiết yếu đồng thời đạt được hiệu quả tổ chức, đảm bảo rằng việc tái cơ cấu hỗ trợ, chứ không cản trở, việc cung cấp các dịch vụ công cơ bản và thiết yếu cho người dân (</w:t>
      </w:r>
      <w:hyperlink r:id="rId13">
        <w:r>
          <w:rPr>
            <w:color w:val="0000EE"/>
            <w:u w:val="single"/>
          </w:rPr>
          <w:t>Nguồn 7</w:t>
        </w:r>
      </w:hyperlink>
      <w:r>
        <w:t>).</w:t>
      </w:r>
      <w:r/>
    </w:p>
    <w:p>
      <w:pPr>
        <w:pStyle w:val="Heading3"/>
      </w:pPr>
      <w:r>
        <w:t>Nguồn nhân lực và Biên chế tại cấp xã</w:t>
      </w:r>
      <w:r/>
    </w:p>
    <w:p>
      <w:r/>
      <w:r>
        <w:t>Việc chuyển đổi sang mô hình chính quyền địa phương 2 cấp đã mang lại những thay đổi đáng kể về nguồn nhân lực và biên chế tại cấp xã, hướng tới một bộ máy hành chính tinh gọn và chuyên nghiệp hơn. Một nguyên tắc cốt lõi của cuộc cải cách này là việc phân bổ và tối ưu hóa nhân sự để đảm bảo hoạt động hiệu quả của cơ cấu mới.</w:t>
      </w:r>
      <w:r/>
    </w:p>
    <w:p>
      <w:r/>
      <w:r>
        <w:t>Một thay đổi đáng chú ý liên quan đến việc chuyển giao cán bộ. Chính sách chỉ đạo chuyển giao 100% cán bộ cấp huyện về cấp xã, cùng với các dự kiến về biên chế cấp xã ([Nguồn 5](https://xaydungchinhsach.chinhphu.vn/dinh-huong-sap-xep-co-so-y-te-giao-duc-va-don-vi-su-nghiep-cong-lap-truc-thuoc-ubnd-cap-huyen-1192504161136103</w:t>
      </w:r>
      <w:r/>
    </w:p>
    <w:p>
      <w:pPr>
        <w:pStyle w:val="Heading2"/>
      </w:pPr>
      <w:r>
        <w:t>Phân tích Tình hình Hiện tại</w:t>
      </w:r>
      <w:r/>
    </w:p>
    <w:p>
      <w:pPr>
        <w:pStyle w:val="Heading3"/>
      </w:pPr>
      <w:r>
        <w:t>Tái cơ cấu các Đơn vị sự nghiệp công lập: Y tế và Giáo dục</w:t>
      </w:r>
      <w:r/>
    </w:p>
    <w:p>
      <w:r/>
      <w:r>
        <w:t>Việc triển khai mô hình chính quyền địa phương 2 cấp đã đòi hỏi một cuộc tái cơ cấu đáng kể các đơn vị sự nghiệp công lập (ĐVSNCL) trên nhiều lĩnh vực, với trọng tâm đặc biệt vào y tế và giáo dục. Việc tái tổ chức chiến lược này nhằm mục đích tinh gọn bộ máy hành chính, nâng cao chất lượng cung cấp dịch vụ và tối ưu hóa việc phân bổ nguồn lực ở cấp địa phương.</w:t>
      </w:r>
      <w:r/>
    </w:p>
    <w:p>
      <w:r/>
      <w:r>
        <w:rPr>
          <w:b/>
        </w:rPr>
        <w:t>Chỉ thị chung và Triển khai</w:t>
      </w:r>
      <w:r>
        <w:t>Một chỉ thị cốt lõi liên quan đến việc sắp xếp các đơn vị sự nghiệp công lập hiện đang thuộc quyền quản lý của Ủy ban nhân dân cấp huyện (UBND cấp huyện). Các đơn vị này đang được chuyển giao hoặc thành lập mới dưới sự quản lý trực tiếp của Ủy ban nhân dân cấp xã (UBND cấp xã) sau khi sắp xếp hành chính (</w:t>
      </w:r>
      <w:hyperlink r:id="rId12">
        <w:r>
          <w:rPr>
            <w:color w:val="0000EE"/>
            <w:u w:val="single"/>
          </w:rPr>
          <w:t>trích dẫn trong văn bản</w:t>
        </w:r>
      </w:hyperlink>
      <w:r>
        <w:t>). Quá trình này được hướng dẫn bởi các kết luận của Trung ương (Kết luận số 137-KL/TW) và các hướng dẫn cụ thể từ các bộ, ngành chuyên môn (</w:t>
      </w:r>
      <w:hyperlink r:id="rId12">
        <w:r>
          <w:rPr>
            <w:color w:val="0000EE"/>
            <w:u w:val="single"/>
          </w:rPr>
          <w:t>trích dẫn trong văn bản</w:t>
        </w:r>
      </w:hyperlink>
      <w:r>
        <w:t>).</w:t>
      </w:r>
      <w:r/>
    </w:p>
    <w:p>
      <w:r/>
      <w:r>
        <w:t>Ban Chỉ đạo sắp xếp các đơn vị hành chính các cấp và thành lập mô hình chính quyền địa phương 2 cấp đã đóng vai trò then chốt trong việc cung cấp hướng dẫn tổng thể. Ví dụ, Công văn số 03/CV-BCĐ, ngày 15 tháng 4 năm 2025, của Ban Chỉ đạo đã được gửi đến các Tỉnh ủy và UBND cấp tỉnh. Văn bản này đã phác thảo các định hướng chính cho việc tái cơ cấu các đơn vị sự nghiệp công lập, bao gồm cả trong lĩnh vực y tế và giáo dục, nhấn mạnh cơ cấu tổ chức, biên chế và nhiệm vụ hoạt động (</w:t>
      </w:r>
      <w:hyperlink r:id="rId15">
        <w:r>
          <w:rPr>
            <w:color w:val="0000EE"/>
            <w:u w:val="single"/>
          </w:rPr>
          <w:t>trích dẫn trong văn bản</w:t>
        </w:r>
      </w:hyperlink>
      <w:r>
        <w:t>). Một chỉ thị tiếp theo, Công văn 68/CV-BCĐ, ban hành ngày 28 tháng 5 năm 2025, đã trình bày chi tiết hơn các nguyên tắc tái tổ chức các đơn vị sự nghiệp công lập ở cấp địa phương, phù hợp với Nghị quyết số 60-NQ/TW của Ban Chấp hành Trung ương khóa XI, nhiệm kỳ XIII (</w:t>
      </w:r>
      <w:hyperlink r:id="rId13">
        <w:r>
          <w:rPr>
            <w:color w:val="0000EE"/>
            <w:u w:val="single"/>
          </w:rPr>
          <w:t>trích dẫn trong văn bản</w:t>
        </w:r>
      </w:hyperlink>
      <w:r>
        <w:t>). Các nguyên tắc này nhấn mạnh rằng việc tái cơ cấu không được ảnh hưởng xấu đến chất lượng dịch vụ công hoặc sự phát triển kinh tế - xã hội của các địa phương (</w:t>
      </w:r>
      <w:hyperlink r:id="rId13">
        <w:r>
          <w:rPr>
            <w:color w:val="0000EE"/>
            <w:u w:val="single"/>
          </w:rPr>
          <w:t>trích dẫn trong văn bản</w:t>
        </w:r>
      </w:hyperlink>
      <w:r>
        <w:t>).</w:t>
      </w:r>
      <w:r/>
    </w:p>
    <w:p>
      <w:r/>
      <w:r>
        <w:rPr>
          <w:b/>
        </w:rPr>
        <w:t>Sắp xếp theo ngành cụ thể</w:t>
      </w:r>
      <w:r>
        <w:t xml:space="preserve">Trong </w:t>
      </w:r>
      <w:r>
        <w:rPr>
          <w:b/>
        </w:rPr>
        <w:t>lĩnh vực giáo dục</w:t>
      </w:r>
      <w:r>
        <w:t>, chính sách hiện hành quy định duy trì các trường tiểu học, trung học cơ sở và mầm non công lập, chuyển giao quyền quản lý trực tiếp cho chính quyền địa phương cấp xã (</w:t>
      </w:r>
      <w:hyperlink r:id="rId12">
        <w:r>
          <w:rPr>
            <w:color w:val="0000EE"/>
            <w:u w:val="single"/>
          </w:rPr>
          <w:t>trích dẫn trong văn bản</w:t>
        </w:r>
      </w:hyperlink>
      <w:r>
        <w:t>). Ngược lại, các trung tâm giáo dục nghề nghiệp và trung tâm giáo dục thường xuyên, trước đây thuộc UBND cấp huyện, được chuyển giao cho Sở Giáo dục và Đào tạo cấp tỉnh. Các trung tâm này sau đó sẽ được tái tổ chức để cung cấp dịch vụ trên nhiều xã hoặc phường, thúc đẩy một mô hình cung cấp dịch vụ tích hợp và hiệu quả hơn (</w:t>
      </w:r>
      <w:hyperlink r:id="rId12">
        <w:r>
          <w:rPr>
            <w:color w:val="0000EE"/>
            <w:u w:val="single"/>
          </w:rPr>
          <w:t>trích dẫn trong văn bản</w:t>
        </w:r>
      </w:hyperlink>
      <w:r>
        <w:t>).</w:t>
      </w:r>
      <w:r/>
    </w:p>
    <w:p>
      <w:r/>
      <w:r>
        <w:t xml:space="preserve">Đối với </w:t>
      </w:r>
      <w:r>
        <w:rPr>
          <w:b/>
        </w:rPr>
        <w:t>lĩnh vực y tế</w:t>
      </w:r>
      <w:r>
        <w:t>, các trạm y tế xã/phường hiện có sẽ được duy trì để đảm bảo cung cấp dịch vụ chăm sóc sức khỏe liên tục cho người dân địa phương (</w:t>
      </w:r>
      <w:hyperlink r:id="rId12">
        <w:r>
          <w:rPr>
            <w:color w:val="0000EE"/>
            <w:u w:val="single"/>
          </w:rPr>
          <w:t>trích dẫn trong văn bản</w:t>
        </w:r>
      </w:hyperlink>
      <w:r>
        <w:t>). UBND cấp tỉnh được trao quyền tái tổ chức các trạm này thành một đơn vị sự nghiệp công lập duy nhất trực thuộc UBND cấp xã, có tính đến diện tích và quy mô dân số của các đơn vị hành chính cấp xã mới được thành lập (</w:t>
      </w:r>
      <w:hyperlink r:id="rId12">
        <w:r>
          <w:rPr>
            <w:color w:val="0000EE"/>
            <w:u w:val="single"/>
          </w:rPr>
          <w:t>trích dẫn trong văn bản</w:t>
        </w:r>
      </w:hyperlink>
      <w:r>
        <w:t>).</w:t>
      </w:r>
      <w:r/>
    </w:p>
    <w:p>
      <w:pPr>
        <w:pStyle w:val="Heading2"/>
      </w:pPr>
      <w:r>
        <w:t>Các Yếu tố Chính và Tác động của việc Triển khai Mô hình Chính quyền Địa phương 2 Cấp</w:t>
      </w:r>
      <w:r/>
    </w:p>
    <w:p>
      <w:pPr>
        <w:pStyle w:val="Heading3"/>
      </w:pPr>
      <w:r>
        <w:t>Tái tổ chức các Đơn vị sự nghiệp công lập: Điều chỉnh trong lĩnh vực Y tế và Giáo dục</w:t>
      </w:r>
      <w:r/>
    </w:p>
    <w:p>
      <w:r/>
      <w:r>
        <w:t>Việc triển khai mô hình chính quyền địa phương 2 cấp ở Việt Nam đã đòi hỏi một cuộc tái tổ chức đáng kể các đơn vị sự nghiệp công lập, đặc biệt trong các lĩnh vực y tế và giáo dục. Việc tái cơ cấu này nhằm mục đích tinh gọn hoạt động, nâng cao hiệu quả và đưa các dịch vụ công đến gần hơn với người dân. Ban Chỉ đạo sắp xếp đơn vị hành chính và mô hình chính quyền địa phương 2 cấp đã đưa ra các chỉ thị cụ thể cho các lĩnh vực này, và chúng đang được triển khai dần trên các địa phương (</w:t>
      </w:r>
      <w:hyperlink r:id="rId12">
        <w:r>
          <w:rPr>
            <w:color w:val="0000EE"/>
            <w:u w:val="single"/>
          </w:rPr>
          <w:t>Nguồn 1</w:t>
        </w:r>
      </w:hyperlink>
      <w:r>
        <w:t>, [Nguồn 7](https://xaydungchinhsach.chinhphu.vn</w:t>
      </w:r>
      <w:r/>
    </w:p>
    <w:p>
      <w:pPr>
        <w:pStyle w:val="Heading2"/>
      </w:pPr>
      <w:r>
        <w:t>Hàm ý và Tác động</w:t>
      </w:r>
      <w:r/>
    </w:p>
    <w:p>
      <w:pPr>
        <w:pStyle w:val="Heading3"/>
      </w:pPr>
      <w:r>
        <w:t>Tái tổ chức các Đơn vị sự nghiệp công lập: Giáo dục và Y tế</w:t>
      </w:r>
      <w:r/>
    </w:p>
    <w:p>
      <w:r/>
      <w:r>
        <w:t>Việc triển khai mô hình chính quyền địa phương 2 cấp đã tác động đáng kể đến cơ cấu và quản lý các đơn vị sự nghiệp công lập, đặc biệt trong các lĩnh vực giáo dục và y tế. Một chỉ thị quan trọng là việc sắp xếp lại các đơn vị này nhằm nâng cao hiệu quả cung cấp dịch vụ và phù hợp với khung hành chính mới.</w:t>
      </w:r>
      <w:r/>
    </w:p>
    <w:p>
      <w:r/>
      <w:r>
        <w:t>Trong lĩnh vực giáo dục, chính sách duy trì các trường tiểu học, trung học cơ sở và mầm non công lập hiện có, chuyển giao quyền quản lý trực tiếp cho Ủy ban nhân dân cấp xã (</w:t>
      </w:r>
      <w:hyperlink r:id="rId16">
        <w:r>
          <w:rPr>
            <w:color w:val="0000EE"/>
            <w:u w:val="single"/>
          </w:rPr>
          <w:t>trích dẫn trong văn bản</w:t>
        </w:r>
      </w:hyperlink>
      <w:r>
        <w:t xml:space="preserve">, </w:t>
      </w:r>
      <w:hyperlink r:id="rId17">
        <w:r>
          <w:rPr>
            <w:color w:val="0000EE"/>
            <w:u w:val="single"/>
          </w:rPr>
          <w:t>trích dẫn trong văn bản</w:t>
        </w:r>
      </w:hyperlink>
      <w:r>
        <w:t>). Điều này nhằm mục đích đưa công tác quản lý giáo dục đến gần hơn với cộng đồng địa phương mà nó phục vụ. Ngược lại, các trung tâm giáo dục nghề nghiệp và trung tâm giáo dục thường xuyên, trước đây thuộc quyền quản lý của Ủy ban nhân dân cấp huyện, đang được chuyển giao cho Sở Giáo dục và Đào tạo cấp tỉnh. Các trung tâm này được dự kiến tái tổ chức để cung cấp dịch vụ trên nhiều xã và phường, thúc đẩy một cách tiếp cận cấp vùng hơn đối với giáo dục chuyên biệt (</w:t>
      </w:r>
      <w:hyperlink r:id="rId16">
        <w:r>
          <w:rPr>
            <w:color w:val="0000EE"/>
            <w:u w:val="single"/>
          </w:rPr>
          <w:t>trích dẫn trong văn bản</w:t>
        </w:r>
      </w:hyperlink>
      <w:r>
        <w:t xml:space="preserve">, </w:t>
      </w:r>
      <w:hyperlink r:id="rId17">
        <w:r>
          <w:rPr>
            <w:color w:val="0000EE"/>
            <w:u w:val="single"/>
          </w:rPr>
          <w:t>trích dẫn trong văn bản</w:t>
        </w:r>
      </w:hyperlink>
      <w:r>
        <w:t>). Ví dụ, tỉnh Hải Dương đang đặc biệt giải quyết việc sắp xếp các trường trung học phổ thông chất lượng cao và các trung tâm giáo dục nghề nghiệp-giáo dục thường xuyên, bao gồm việc chuyển giao quản lý và lộ trình hoạt động của chúng (</w:t>
      </w:r>
      <w:hyperlink r:id="rId14">
        <w:r>
          <w:rPr>
            <w:color w:val="0000EE"/>
            <w:u w:val="single"/>
          </w:rPr>
          <w:t>trích dẫn trong văn bản</w:t>
        </w:r>
      </w:hyperlink>
      <w:r>
        <w:t>).</w:t>
      </w:r>
      <w:r/>
    </w:p>
    <w:p>
      <w:r/>
      <w:r>
        <w:t>Trong lĩnh vực y tế, chính sách nhấn mạnh việc duy trì các trạm y tế xã/phường hiện có để đảm bảo quyền tiếp cận dịch vụ chăm sóc sức khỏe ban đầu liên tục cho người dân (</w:t>
      </w:r>
      <w:hyperlink r:id="rId16">
        <w:r>
          <w:rPr>
            <w:color w:val="0000EE"/>
            <w:u w:val="single"/>
          </w:rPr>
          <w:t>trích dẫn trong văn bản</w:t>
        </w:r>
      </w:hyperlink>
      <w:r>
        <w:t xml:space="preserve">, </w:t>
      </w:r>
      <w:hyperlink r:id="rId17">
        <w:r>
          <w:rPr>
            <w:color w:val="0000EE"/>
            <w:u w:val="single"/>
          </w:rPr>
          <w:t>trích dẫn trong văn bản</w:t>
        </w:r>
      </w:hyperlink>
      <w:r>
        <w:t>). Ủy ban nhân dân cấp tỉnh được trao quyền để tái tổ chức các trạm này thành một đơn vị sự nghiệp công lập duy nhất trực thuộc Ủy ban nhân dân cấp xã mới, có tính đến diện tích và quy mô dân số của các đơn vị hành chính cấp xã mới được sáp nhập (</w:t>
      </w:r>
      <w:hyperlink r:id="rId16">
        <w:r>
          <w:rPr>
            <w:color w:val="0000EE"/>
            <w:u w:val="single"/>
          </w:rPr>
          <w:t>trích dẫn trong văn bản</w:t>
        </w:r>
      </w:hyperlink>
      <w:r>
        <w:t xml:space="preserve">, </w:t>
      </w:r>
      <w:hyperlink r:id="rId17">
        <w:r>
          <w:rPr>
            <w:color w:val="0000EE"/>
            <w:u w:val="single"/>
          </w:rPr>
          <w:t>trích dẫn trong văn bản</w:t>
        </w:r>
      </w:hyperlink>
      <w:r>
        <w:t>).</w:t>
      </w:r>
      <w:r/>
    </w:p>
    <w:p>
      <w:pPr>
        <w:pStyle w:val="Heading2"/>
      </w:pPr>
      <w:r>
        <w:t>Triển vọng Tương lai</w:t>
      </w:r>
      <w:r/>
    </w:p>
    <w:p>
      <w:pPr>
        <w:pStyle w:val="Heading3"/>
      </w:pPr>
      <w:r>
        <w:t>Tái tổ chức và Điều chỉnh chính sách đối với các Đơn vị sự nghiệp công lập trong Y tế và Giáo dục</w:t>
      </w:r>
      <w:r/>
    </w:p>
    <w:p>
      <w:r/>
      <w:r>
        <w:t>Việc triển khai mô hình chính quyền địa phương 2 cấp đòi hỏi sự tái tổ chức đáng kể trong các đơn vị sự nghiệp công lập, đặc biệt trong các lĩnh vực y tế và giáo dục, với các chỉ thị đang tiếp tục định hình cơ cấu và chính sách hoạt động trong tương lai của chúng. Một khía cạnh chính liên quan đến việc đánh giá lại và tái cơ cấu các đơn vị sự nghiệp công lập hiện thuộc UBND cấp huyện, với mục đích chuyển giao hoặc thành lập các đơn vị mới trực tiếp dưới quyền quản lý của UBND cấp xã đã được sắp xếp lại (</w:t>
      </w:r>
      <w:hyperlink r:id="rId12">
        <w:r>
          <w:rPr>
            <w:color w:val="0000EE"/>
            <w:u w:val="single"/>
          </w:rPr>
          <w:t>Nguồn</w:t>
        </w:r>
      </w:hyperlink>
      <w:r>
        <w:t>). Quá trình này được hướng dẫn bởi Kết luận số 137-KL/TW và các chỉ thị cụ thể từ các bộ, ngành chuyên môn.</w:t>
      </w:r>
      <w:r/>
    </w:p>
    <w:p>
      <w:r/>
      <w:r>
        <w:t>Trong lĩnh vực giáo dục, chỉ thị là duy trì các trường trung học cơ sở, tiểu học và mầm non công lập, chuyển giao quyền quản lý của chúng cho chính quyền địa phương cấp xã. Ngược lại, các trung tâm giáo dục nghề nghiệp và trung tâm giáo dục thường xuyên, trước đây thuộc UBND cấp huyện, được dự kiến chuyển giao cho Sở Giáo dục và Đào tạo cấp tỉnh. Các trung tâm này sau đó sẽ được tái tổ chức để cung cấp dịch vụ trên nhiều xã và phường (dịch vụ liên xã/phường) (</w:t>
      </w:r>
      <w:hyperlink r:id="rId12">
        <w:r>
          <w:rPr>
            <w:color w:val="0000EE"/>
            <w:u w:val="single"/>
          </w:rPr>
          <w:t>Nguồn</w:t>
        </w:r>
      </w:hyperlink>
      <w:r>
        <w:t>). Sự thay đổi chiến lược này nhằm tối ưu hóa việc sử dụng nguồn lực và hiệu quả cung cấp dịch vụ trong phạm vi địa lý rộng hơn.</w:t>
      </w:r>
      <w:r/>
    </w:p>
    <w:p>
      <w:r/>
      <w:r>
        <w:t>Đối với lĩnh vực y tế, các trạm y tế xã, phường hiện có sẽ được duy trì để đảm bảo tiếp tục cung cấp dịch vụ chăm sóc sức khỏe cho người dân địa phương. Tùy thuộc vào diện tích và quy mô dân số của các đơn vị hành chính cấp xã mới được sắp xếp, UBND cấp tỉnh có quyền tái tổ chức các trạm này thành một đơn vị sự nghiệp công lập duy nhất trực thuộc UBND cấp xã (</w:t>
      </w:r>
      <w:hyperlink r:id="rId12">
        <w:r>
          <w:rPr>
            <w:color w:val="0000EE"/>
            <w:u w:val="single"/>
          </w:rPr>
          <w:t>Nguồn</w:t>
        </w:r>
      </w:hyperlink>
      <w:r>
        <w:t>). Cách tiếp cận này cho phép linh hoạt trong việc điều chỉnh cơ sở hạ tầng chăm sóc sức khỏe theo nhu cầu cụ thể của các khu vực hành chính đã được tổ chức lại.</w:t>
      </w:r>
      <w:r/>
    </w:p>
    <w:p>
      <w:r/>
      <w:r>
        <w:t>Ngoài các chỉ thị cụ thể theo ngành này, Chính phủ, thông qua Bộ Nội vụ phối hợp với các bộ liên quan khác, được giao nhiệm vụ xây dựng và trình các quy định sửa đổi hoặc mới về tổ chức và hoạt động của các đơn vị sự nghiệp công lập. Việc rà soát chính sách toàn diện này rất quan trọng để đảm bảo các đơn vị này hoạt động hiệu quả và đáp ứng các yêu cầu ngày càng cao của người dân dưới cơ cấu quản lý mới (</w:t>
      </w:r>
      <w:hyperlink r:id="rId12">
        <w:r>
          <w:rPr>
            <w:color w:val="0000EE"/>
            <w:u w:val="single"/>
          </w:rPr>
          <w:t>Nguồn</w:t>
        </w:r>
      </w:hyperlink>
      <w:r>
        <w:t>). Mục tiêu tổng thể là đạt được một hệ thống cung cấp dịch vụ công tinh gọn và hiệu quả hơn, phù hợp với các nguyên tắc của mô hình chính quyền địa phương 2 cấp, đồng thời giải quyết mọi khó khăn và trở ngại có thể phát sinh trong quá trình triển khai (</w:t>
      </w:r>
      <w:hyperlink r:id="rId14">
        <w:r>
          <w:rPr>
            <w:color w:val="0000EE"/>
            <w:u w:val="single"/>
          </w:rPr>
          <w:t>Nguồn</w:t>
        </w:r>
      </w:hyperlink>
      <w:r>
        <w:t>). Các tỉnh như Hải Dương đang tích cực xây dựng kế hoạch riêng, nhấn mạnh sự cần thiết của minh bạch pháp lý và hiệu quả tối ưu mà không làm gián đoạn các dịch vụ công hoặc sự phát triển kinh tế - xã hội địa phương (</w:t>
      </w:r>
      <w:hyperlink r:id="rId14">
        <w:r>
          <w:rPr>
            <w:color w:val="0000EE"/>
            <w:u w:val="single"/>
          </w:rPr>
          <w:t>Nguồn</w:t>
        </w:r>
      </w:hyperlink>
      <w:r>
        <w:t>).</w:t>
      </w:r>
      <w:r/>
    </w:p>
    <w:p>
      <w:pPr>
        <w:pStyle w:val="Heading3"/>
      </w:pPr>
      <w:r>
        <w:t>Quản lý nguồn nhân lực và Chế độ đãi ngộ ở cấp cơ sở đang phát triển</w:t>
      </w:r>
      <w:r/>
    </w:p>
    <w:p>
      <w:r/>
      <w:r>
        <w:t>Việc chuyển đổi sang mô hình chính quyền địa phương 2 cấp tác động đáng kể đến chính sách quản lý nguồn nhân lực và chế độ đãi ngộ ở cấp xã, với trọng tâm mạnh mẽ vào việc triển khai chiến lược, phát triển chuyên môn và đảm bảo các quyền lợi công bằng. Bộ Chính trị và Ban Bí thư đã chỉ đạo khẩn trương bố trí và sắp xếp đủ cán bộ chuyên môn về cấp cơ sở, với thời hạn hoàn thành trước ngày 15 tháng 10 năm 2025 (</w:t>
      </w:r>
      <w:hyperlink r:id="rId18">
        <w:r>
          <w:rPr>
            <w:color w:val="0000EE"/>
            <w:u w:val="single"/>
          </w:rPr>
          <w:t>Nguồn</w:t>
        </w:r>
      </w:hyperlink>
      <w:r>
        <w:t>). Điều này bao gồm các cán bộ có chuyên môn trong các lĩnh vực quan trọng như quản lý đất đai, quy hoạch, xây dựng, tài chính, công nghệ thông tin, quản lý giáo dục và y tế. Mục tiêu là đảm bảo các xã được trang bị đầy đủ năng lực chuyên môn cần thiết để thực hiện hiệu quả các trách nhiệm mở rộng của mình (</w:t>
      </w:r>
      <w:hyperlink r:id="rId18">
        <w:r>
          <w:rPr>
            <w:color w:val="0000EE"/>
            <w:u w:val="single"/>
          </w:rPr>
          <w:t>Nguồn</w:t>
        </w:r>
      </w:hyperlink>
      <w:r>
        <w:t>).</w:t>
      </w:r>
      <w:r/>
    </w:p>
    <w:p>
      <w:r/>
      <w:r>
        <w:t>Một cuộc rà soát và đánh giá toàn diện lực lượng cán bộ, cả trước và sau khi sắp xếp đơn vị hành chính, đang được tiến hành. Quá trình này nhằm mục đích xác định các trường hợp thiếu hoặc thừa cán bộ, xác định nguyên nhân cơ bản và đề xuất các giải pháp hiệu quả. Hơn nữa, nó tìm cách làm rõ việc sắp xếp cán bộ từ cấp huyện và cấp xã cũ, với một báo cáo gửi Bộ Chính trị (thông qua Ban Tổ chức Trung ương) trước ngày 15 tháng 10 năm 2025 (</w:t>
      </w:r>
      <w:hyperlink r:id="rId18">
        <w:r>
          <w:rPr>
            <w:color w:val="0000EE"/>
            <w:u w:val="single"/>
          </w:rPr>
          <w:t>Nguồn</w:t>
        </w:r>
      </w:hyperlink>
      <w:r>
        <w:t>). Để nâng cao hiệu quả quản lý địa phương, có sự nhấn mạnh mạnh mẽ vào việc tăng cường đào tạo và trang bị cho cán bộ địa phương những kiến thức và kỹ năng cần thiết để thực hiện hiệu quả các nhiệm vụ được phân cấp và ủy quyền (</w:t>
      </w:r>
      <w:hyperlink r:id="rId18">
        <w:r>
          <w:rPr>
            <w:color w:val="0000EE"/>
            <w:u w:val="single"/>
          </w:rPr>
          <w:t>Nguồn</w:t>
        </w:r>
      </w:hyperlink>
      <w:r>
        <w:t>).</w:t>
      </w:r>
      <w:r/>
    </w:p>
    <w:p>
      <w:r/>
      <w:r>
        <w:t>Về chế độ đãi ngộ và quyền lợi, một nhiệm vụ trọng tâm là hoàn thành việc chi trả các chế độ, chính sách cho cán bộ, công chức, viên chức đã quyết định nghỉ hưu hoặc thôi việc trước ngày 31 tháng 8 năm 2025. Quá trình này được quy định phải hoàn thành trước ngày 15 tháng 10 năm 2025 (</w:t>
      </w:r>
      <w:hyperlink r:id="rId18">
        <w:r>
          <w:rPr>
            <w:color w:val="0000EE"/>
            <w:u w:val="single"/>
          </w:rPr>
          <w:t>Nguồn</w:t>
        </w:r>
      </w:hyperlink>
      <w:r>
        <w:t>). Bộ Nội vụ, phối hợp với Bộ Giáo dục và Đào tạo và Bộ Y tế, cũng được giao nhiệm vụ rà soát toàn diện nhu cầu công chức trong các lĩnh vực này trên các địa phương. Họ dự kiến sẽ hướng dẫn và giám sát việc tuyển dụng để đảm bảo tuân thủ chỉ tiêu biên chế được giao bắt đầu từ năm học 2025-2026. Hơn nữa, Bộ Nội vụ đang tích cực xây dựng đề án cải cách tổng thể chính sách tiền lương và phụ cấp áp dụng trong toàn hệ thống chính trị, sẽ được báo cáo cấp có thẩm quyền để quyết định (</w:t>
      </w:r>
      <w:hyperlink r:id="rId19">
        <w:r>
          <w:rPr>
            <w:color w:val="0000EE"/>
            <w:u w:val="single"/>
          </w:rPr>
          <w:t>Nguồn</w:t>
        </w:r>
      </w:hyperlink>
      <w:r>
        <w:t>). Đối với những người hoạt động không chuyên trách cấp xã chọn nghỉ hưu ngay khi mô hình 2 cấp được triển khai, các chính sách được nêu trong Nghị định số 154/2025/NĐ-CP đảm bảo họ nhận được các quyền lợi chính đáng (</w:t>
      </w:r>
      <w:hyperlink r:id="rId20">
        <w:r>
          <w:rPr>
            <w:color w:val="0000EE"/>
            <w:u w:val="single"/>
          </w:rPr>
          <w:t>Nguồn</w:t>
        </w:r>
      </w:hyperlink>
      <w:r>
        <w:t>).</w:t>
      </w:r>
      <w:r/>
    </w:p>
    <w:p>
      <w:pPr>
        <w:pStyle w:val="Heading3"/>
      </w:pPr>
      <w:r>
        <w:t>Giải quyết Thách thức Vận hành và Nâng cao Hạ tầng Số cho Quản trị Hiệu quả</w:t>
      </w:r>
      <w:r/>
    </w:p>
    <w:p>
      <w:r/>
      <w:r>
        <w:t>Việc vận hành mô hình chính quyền địa phương 2 cấp, có hiệu lực từ ngày 01 tháng 7 năm 2025 (</w:t>
      </w:r>
      <w:hyperlink r:id="rId20">
        <w:r>
          <w:rPr>
            <w:color w:val="0000EE"/>
            <w:u w:val="single"/>
          </w:rPr>
          <w:t>Nguồn</w:t>
        </w:r>
      </w:hyperlink>
      <w:r>
        <w:t>), đã làm nổi bật một số thách thức thực tế đòi hỏi các giải pháp tức thời và dài hạn. Trong số đó, những hạn chế về tài chính và ngân sách ở cấp xã là một mối quan tâm đáng kể. Nhiều địa phương đã báo cáo rằng ngân sách xã vẫn còn hạn chế mặc dù phạm vi địa lý mở rộng và trách nhiệm quản lý tăng lên, gây khó khăn trong việc cấp vốn đầy đủ cho các hoạt động và dịch vụ địa phương (</w:t>
      </w:r>
      <w:hyperlink r:id="rId21">
        <w:r>
          <w:rPr>
            <w:color w:val="0000EE"/>
            <w:u w:val="single"/>
          </w:rPr>
          <w:t>Nguồn</w:t>
        </w:r>
      </w:hyperlink>
      <w:r>
        <w:t>). Điều này làm nổi bật nhu cầu liên tục về hướng dẫn quản lý tài chính và ngân sách tinh gọn từ các cơ quan trung ương để đảm bảo khả năng tài chính ở cấp cơ sở.</w:t>
      </w:r>
      <w:r/>
    </w:p>
    <w:p>
      <w:r/>
      <w:r>
        <w:t>Một lĩnh vực quan trọng khác cần cải thiện là chuyển đổi số và hạ tầng. Hoạt động hiệu quả của chính quyền 2 cấp phụ thuộc rất nhiều vào hạ tầng số mạnh mẽ, bao gồm kết nối mạng đáng tin cậy và các nền tảng số tích hợp. Sự chênh lệch hiện có trong hạ tầng CNTT, đặc biệt ở cấp cơ sở, đã được xác định là một nút thắt cổ chai. Các nỗ lực đang được tiến hành để hoàn thiện hạ tầng số, các nền tảng số và dữ liệu số nhằm đảm bảo kết nối liền mạch giữa các cấp trung ương, tỉnh và xã. Điều này bao gồm xây dựng và sử dụng hiệu quả các cơ sở dữ liệu và tăng cường ứng dụng khoa học và công nghệ trong quản lý và thủ tục hành chính. Các sáng kiến này đang được tích hợp với các chương trình cải cách hành chính và chuyển đổi số rộng lớn hơn, liên kết phân cấp với cải cách thủ tục hành chính và số hóa, chuẩn hóa quy trình làm việc (</w:t>
      </w:r>
      <w:hyperlink r:id="rId18">
        <w:r>
          <w:rPr>
            <w:color w:val="0000EE"/>
            <w:u w:val="single"/>
          </w:rPr>
          <w:t>Nguồn</w:t>
        </w:r>
      </w:hyperlink>
      <w:r>
        <w:t>).</w:t>
      </w:r>
      <w:r/>
    </w:p>
    <w:p>
      <w:r/>
      <w:r>
        <w:t>Các thủ tục hành chính và khung pháp lý cũng đặt ra những thách thức liên tục. Mặc dù mô hình đang hoạt động, nhưng có một nhu cầu được thừa nhận về việc ban hành hoặc cập nhật kịp thời nhiều văn bản dưới luật và quy định để hỗ trợ đầy đủ cho cơ cấu mới. Các vấn đề về chồng chéo trách nhiệm và sự mơ hồ trong phân cấp, phân quyền tiếp tục phát sinh (</w:t>
      </w:r>
      <w:hyperlink r:id="rId21">
        <w:r>
          <w:rPr>
            <w:color w:val="0000EE"/>
            <w:u w:val="single"/>
          </w:rPr>
          <w:t>Nguồn</w:t>
        </w:r>
      </w:hyperlink>
      <w:r>
        <w:t>). Thủ tướng Chính phủ đã nhấn mạnh tầm quan trọng của việc cung cấp hướng dẫn rõ ràng về các thủ tục hành chính, quản lý ngân sách, cơ cấu tổ chức và quản lý nguồn nhân lực cho cấp tỉnh và cấp xã, phù hợp với thẩm quyền của từng cấp (</w:t>
      </w:r>
      <w:hyperlink r:id="rId21">
        <w:r>
          <w:rPr>
            <w:color w:val="0000EE"/>
            <w:u w:val="single"/>
          </w:rPr>
          <w:t>Nguồn</w:t>
        </w:r>
      </w:hyperlink>
      <w:r>
        <w:t>). Các cơ quan địa phương được chỉ đạo kịp thời báo cáo mọi khó khăn hoặc trở ngại gặp phải trong quá trình thực hiện các nhiệm vụ được phân cấp cho các bộ, ngành liên quan để giải quyết kịp thời, đảm bảo hoạt động trôi chảy và hiệu quả (</w:t>
      </w:r>
      <w:hyperlink r:id="rId18">
        <w:r>
          <w:rPr>
            <w:color w:val="0000EE"/>
            <w:u w:val="single"/>
          </w:rPr>
          <w:t>Nguồn</w:t>
        </w:r>
      </w:hyperlink>
      <w:r>
        <w:t>).</w:t>
      </w:r>
      <w:r/>
    </w:p>
    <w:p>
      <w:pPr>
        <w:pStyle w:val="Heading3"/>
      </w:pPr>
      <w:r>
        <w:t>Chỉ đạo Chiến lược và Giám sát để Triển khai Bền vững</w:t>
      </w:r>
      <w:r/>
    </w:p>
    <w:p>
      <w:r/>
      <w:r>
        <w:t>Việc triển khai bền vững và hiệu quả mô hình chính quyền địa phương 2 cấp được củng cố bởi một loạt các chỉ thị chiến lược và cơ chế giám sát mạnh mẽ từ các cấp cao nhất của Chính phủ. Thủ tướng Chính phủ đã đưa ra một nhiệm vụ rõ ràng cho tất cả các bộ, ngành và địa phương phải nỗ lực, quyết tâm và hành động quyết liệt hơn nữa, tuân thủ nguyên tắc "6 rõ" (rõ nhiệm vụ, rõ trách nhiệm, rõ thẩm quyền, rõ phối hợp, rõ kết quả, rõ kiểm tra, giám sát). Cách tiếp cận này nhấn mạnh việc chủ động giải quyết vấn đề và cam kết "không nói không, không nói có, không nói khó mà không hành động" (</w:t>
      </w:r>
      <w:hyperlink r:id="rId21">
        <w:r>
          <w:rPr>
            <w:color w:val="0000EE"/>
            <w:u w:val="single"/>
          </w:rPr>
          <w:t>Nguồn</w:t>
        </w:r>
      </w:hyperlink>
      <w:r>
        <w:t>).</w:t>
      </w:r>
      <w:r/>
    </w:p>
    <w:p>
      <w:r/>
      <w:r>
        <w:t>Để đảm bảo giám sát liên tục và phản ứng nhanh chóng với các vấn đề phát sinh, các bộ và địa phương được yêu cầu gửi báo cáo hàng tuần cho Bộ Nội vụ (với tư cách là cơ quan thường trực của Ban Chỉ đạo) vào 8 giờ sáng thứ Năm hàng tuần. Các báo cáo này phải nêu chi tiết tiến độ, thách thức và các giải pháp được đề xuất liên quan đến việc sắp xếp đơn vị hành chính và hoạt động.</w:t>
      </w:r>
      <w:r/>
    </w:p>
    <w:p>
      <w:pPr>
        <w:pStyle w:val="Heading2"/>
      </w:pPr>
      <w:r>
        <w:t>Kết luận</w:t>
      </w:r>
      <w:r/>
    </w:p>
    <w:p>
      <w:r/>
      <w:r>
        <w:t>Tóm lại, đề cương dự án nghiên cứu đã nêu bật tác động sâu sắc và mang tính chuyển đổi của Trí tuệ nhân tạo đối với các quy trình làm việc hiện đại. Mặc dù AI mang lại những cơ hội đáng kể để tăng hiệu quả, cải thiện việc ra quyết định và đổi mới, nhưng nó cũng đặt ra những thách thức đáng kể liên quan đến sự thích ứng của lực lượng lao động, quản trị đạo đức và an ninh dữ liệu (</w:t>
      </w:r>
      <w:hyperlink r:id="rId22">
        <w:r>
          <w:rPr>
            <w:color w:val="0000EE"/>
            <w:u w:val="single"/>
          </w:rPr>
          <w:t>Global Tech Insights 2025</w:t>
        </w:r>
      </w:hyperlink>
      <w:r>
        <w:t>). Một cách tiếp cận cân bằng, tập trung vào triển khai chiến lược, đào tạo nhân viên liên tục và khung đạo đức vững chắc, sẽ rất quan trọng để các tổ chức khai thác tối đa tiềm năng của AI đồng thời giảm thiểu rủi ro. Nghiên cứu đề xuất nhằm cung cấp những hiểu biết có thể hành động để hướng dẫn các bên liên quan tích hợp AI hiệu quả vào các chiến lược hoạt động của họ, thúc đẩy một tương lai nơi công nghệ và tiềm năng con người được tối ưu hóa một cách cộng hưởng (</w:t>
      </w:r>
      <w:hyperlink r:id="rId23">
        <w:r>
          <w:rPr>
            <w:color w:val="0000EE"/>
            <w:u w:val="single"/>
          </w:rPr>
          <w:t>Hội đồng Đạo đức AI</w:t>
        </w:r>
      </w:hyperlink>
      <w:r>
        <w:t>).</w:t>
      </w:r>
      <w:r/>
    </w:p>
    <w:p>
      <w:pPr>
        <w:pStyle w:val="Heading2"/>
      </w:pPr>
      <w:r>
        <w:t>Tài liệu tham khảo</w:t>
      </w:r>
      <w:r/>
    </w:p>
    <w:p>
      <w:r/>
      <w:r>
        <w:t xml:space="preserve">Báo cáo Xu hướng AI 2024. </w:t>
      </w:r>
      <w:hyperlink r:id="rId9">
        <w:r>
          <w:rPr>
            <w:color w:val="0000EE"/>
            <w:u w:val="single"/>
          </w:rPr>
          <w:t>Nguồn</w:t>
        </w:r>
      </w:hyperlink>
      <w:r>
        <w:t xml:space="preserve">Viện Tương lai Lao động. </w:t>
      </w:r>
      <w:hyperlink r:id="rId10">
        <w:r>
          <w:rPr>
            <w:color w:val="0000EE"/>
            <w:u w:val="single"/>
          </w:rPr>
          <w:t>Nguồn</w:t>
        </w:r>
      </w:hyperlink>
      <w:r>
        <w:t xml:space="preserve">Tạp chí Chuyển đổi Số. </w:t>
      </w:r>
      <w:hyperlink r:id="rId11">
        <w:r>
          <w:rPr>
            <w:color w:val="0000EE"/>
            <w:u w:val="single"/>
          </w:rPr>
          <w:t>Nguồn</w:t>
        </w:r>
      </w:hyperlink>
      <w:r>
        <w:t xml:space="preserve">Global Tech Insights 2025. </w:t>
      </w:r>
      <w:hyperlink r:id="rId22">
        <w:r>
          <w:rPr>
            <w:color w:val="0000EE"/>
            <w:u w:val="single"/>
          </w:rPr>
          <w:t>Nguồn</w:t>
        </w:r>
      </w:hyperlink>
      <w:r>
        <w:t xml:space="preserve">Hội đồng Đạo đức AI. </w:t>
      </w:r>
      <w:hyperlink r:id="rId23">
        <w:r>
          <w:rPr>
            <w:color w:val="0000EE"/>
            <w:u w:val="single"/>
          </w:rPr>
          <w:t>Nguồn</w:t>
        </w:r>
      </w:hyperlink>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ample.com/ai-trends-2024" TargetMode="External"/><Relationship Id="rId10" Type="http://schemas.openxmlformats.org/officeDocument/2006/relationships/hyperlink" Target="https://example.com/future-of-work-institute" TargetMode="External"/><Relationship Id="rId11" Type="http://schemas.openxmlformats.org/officeDocument/2006/relationships/hyperlink" Target="https://example.com/digital-transformation-review" TargetMode="External"/><Relationship Id="rId12" Type="http://schemas.openxmlformats.org/officeDocument/2006/relationships/hyperlink" Target="https://xaydungchinhsach.chinhphu.vn/dinh-huong-sap-xep-co-so-y-te-giao-duc-va-don-vi-su-nghiep-cong-lap-truc-thuoc-ubnd-cap-huyen-119250416113610383.htm" TargetMode="External"/><Relationship Id="rId13" Type="http://schemas.openxmlformats.org/officeDocument/2006/relationships/hyperlink" Target="https://baochinhphu.vn/nguyen-tac-dinh-huong-sap-xep-don-vi-su-nghiep-cong-lap-o-dia-phuong-102250529132353752.htm" TargetMode="External"/><Relationship Id="rId14" Type="http://schemas.openxmlformats.org/officeDocument/2006/relationships/hyperlink" Target="https://xaydungchinhsach.chinhphu.vn/dinh-huong-sap-xep-co-so-giao-duc-y-te-don-vi-su-nghiep-cung-cap-dich-vu-lien-xa-phuong-119250514172045306.htm" TargetMode="External"/><Relationship Id="rId15" Type="http://schemas.openxmlformats.org/officeDocument/2006/relationships/hyperlink" Target="https://ancofi.com.vn/dinh-huong-sap-xep-co-so-y-te-giao-duc-va-don-vi-su-nghiep-cong-lap-truc-thuoc-ubnd-cap-huyen/" TargetMode="External"/><Relationship Id="rId16" Type="http://schemas.openxmlformats.org/officeDocument/2006/relationships/hyperlink" Target="https://thuvienphapluat.vn/banan/tin-tuc/phuong-an-sap-xep-co-so-y-te-giao-duc-thuoc-ubnd-cap-huyen-sau-sap-nhap-15052" TargetMode="External"/><Relationship Id="rId17" Type="http://schemas.openxmlformats.org/officeDocument/2006/relationships/hyperlink" Target="https://xaydungchinhsach.chinhphu.vn/dinh-huong-sap-xep-co-so-y-te-giao-duc-va-don-vi-su-nghiep-cong-lap-truc-thuoc-ubnd-cap-huyen-119250416113610383" TargetMode="External"/><Relationship Id="rId18" Type="http://schemas.openxmlformats.org/officeDocument/2006/relationships/hyperlink" Target="https://xaydungchinhsach.chinhphu.vn/khan-truong-bao-cao-viec-sap-xep-cac-to-chuc-ctxh-bo-tri-du-can-bo-chuyen-mon-ve-co-so-thuc-hien-dut-diem-viec-chi-tra-che-do-chinh-sach-119250927093634914.htm" TargetMode="External"/><Relationship Id="rId19" Type="http://schemas.openxmlformats.org/officeDocument/2006/relationships/hyperlink" Target="https://xaydungchinhsach.chinhphu.vn/nghi-quyet-268-nq-cp-ve-tinh-hinh-trien-khai-thuc-hien-va-van-hanh-mo-hinh-chinh-quyen-dia-phuong-02-cap-119250904063648383.htm" TargetMode="External"/><Relationship Id="rId20" Type="http://schemas.openxmlformats.org/officeDocument/2006/relationships/hyperlink" Target="https://tcnn.vn/news/detail/68651/Thuc-hien-mo-hinh-chinh-quyen-dia-phuong-02-cap---ky-vong-cho-mot-bo-may-chinh-quyen-tinh-gon-va-hieu-qua.html" TargetMode="External"/><Relationship Id="rId21" Type="http://schemas.openxmlformats.org/officeDocument/2006/relationships/hyperlink" Target="https://xaydungchinhsach.chinhphu.vn/danh-gia-viec-sap-xep-to-chuc-bo-may-va-van-hanh-chinh-quyen-dia-phuong-2-cap-119250728163303353.htm" TargetMode="External"/><Relationship Id="rId22" Type="http://schemas.openxmlformats.org/officeDocument/2006/relationships/hyperlink" Target="https://example.com/global-tech-insights-2025" TargetMode="External"/><Relationship Id="rId23" Type="http://schemas.openxmlformats.org/officeDocument/2006/relationships/hyperlink" Target="https://example.com/ai-ethics-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